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42" w:rsidRPr="00106730" w:rsidRDefault="00292442" w:rsidP="00292442">
      <w:pPr>
        <w:pStyle w:val="Standard"/>
        <w:jc w:val="center"/>
        <w:rPr>
          <w:b/>
          <w:sz w:val="22"/>
          <w:szCs w:val="20"/>
          <w:lang w:val="pl-PL"/>
        </w:rPr>
      </w:pPr>
      <w:r w:rsidRPr="00106730">
        <w:rPr>
          <w:b/>
          <w:sz w:val="22"/>
          <w:szCs w:val="20"/>
          <w:lang w:val="pl-PL"/>
        </w:rPr>
        <w:t>Dostosowanie ogólnodostępnej infrastruktury turystycznej i rekreacyjnej do potrzeb przedstawicieli grup defaworyzowanych</w:t>
      </w:r>
    </w:p>
    <w:p w:rsidR="00292442" w:rsidRPr="00106730" w:rsidRDefault="00292442" w:rsidP="00292442">
      <w:pPr>
        <w:pStyle w:val="Standard"/>
        <w:jc w:val="center"/>
        <w:rPr>
          <w:b/>
          <w:sz w:val="22"/>
          <w:szCs w:val="20"/>
          <w:lang w:val="pl-PL"/>
        </w:rPr>
      </w:pPr>
      <w:r w:rsidRPr="00106730">
        <w:rPr>
          <w:b/>
          <w:sz w:val="22"/>
          <w:szCs w:val="20"/>
          <w:lang w:val="pl-PL"/>
        </w:rPr>
        <w:t>oraz</w:t>
      </w:r>
    </w:p>
    <w:p w:rsidR="00292442" w:rsidRPr="00106730" w:rsidRDefault="00292442" w:rsidP="00292442">
      <w:pPr>
        <w:pStyle w:val="Standard"/>
        <w:jc w:val="center"/>
        <w:rPr>
          <w:b/>
          <w:sz w:val="22"/>
          <w:szCs w:val="20"/>
          <w:lang w:val="pl-PL"/>
        </w:rPr>
      </w:pPr>
      <w:r w:rsidRPr="00106730">
        <w:rPr>
          <w:b/>
          <w:sz w:val="22"/>
          <w:szCs w:val="20"/>
          <w:lang w:val="pl-PL"/>
        </w:rPr>
        <w:t>Budowa ogólnodostępnej infrastruktury turystycznej i rekreacyjnej</w:t>
      </w:r>
    </w:p>
    <w:p w:rsidR="00292442" w:rsidRDefault="00292442" w:rsidP="00292442">
      <w:pPr>
        <w:spacing w:after="0"/>
        <w:rPr>
          <w:rFonts w:ascii="Times New Roman" w:hAnsi="Times New Roman"/>
          <w:b/>
          <w:sz w:val="28"/>
          <w:szCs w:val="24"/>
        </w:rPr>
      </w:pPr>
    </w:p>
    <w:p w:rsidR="00292442" w:rsidRPr="00106730" w:rsidRDefault="00292442" w:rsidP="00292442">
      <w:pPr>
        <w:spacing w:after="0"/>
        <w:jc w:val="center"/>
        <w:rPr>
          <w:rFonts w:ascii="Times New Roman" w:hAnsi="Times New Roman"/>
          <w:b/>
          <w:szCs w:val="24"/>
        </w:rPr>
      </w:pPr>
      <w:r w:rsidRPr="00106730">
        <w:rPr>
          <w:rFonts w:ascii="Times New Roman" w:hAnsi="Times New Roman"/>
          <w:b/>
          <w:szCs w:val="24"/>
        </w:rPr>
        <w:t>Kwota dofinansowania:</w:t>
      </w:r>
    </w:p>
    <w:p w:rsidR="00292442" w:rsidRPr="00106730" w:rsidRDefault="00292442" w:rsidP="00292442">
      <w:pPr>
        <w:spacing w:after="0"/>
        <w:jc w:val="center"/>
        <w:rPr>
          <w:rFonts w:ascii="Times New Roman" w:hAnsi="Times New Roman"/>
          <w:b/>
          <w:szCs w:val="24"/>
        </w:rPr>
      </w:pPr>
      <w:r w:rsidRPr="00106730">
        <w:rPr>
          <w:rFonts w:ascii="Times New Roman" w:hAnsi="Times New Roman"/>
          <w:b/>
          <w:szCs w:val="24"/>
        </w:rPr>
        <w:t>Do 300 000,00zł. refundacji dla beneficjenta</w:t>
      </w:r>
    </w:p>
    <w:p w:rsidR="00292442" w:rsidRPr="00106730" w:rsidRDefault="00292442" w:rsidP="00292442">
      <w:pPr>
        <w:spacing w:after="0"/>
        <w:jc w:val="center"/>
        <w:rPr>
          <w:rFonts w:ascii="Times New Roman" w:hAnsi="Times New Roman"/>
          <w:b/>
          <w:szCs w:val="24"/>
        </w:rPr>
      </w:pPr>
      <w:r w:rsidRPr="00106730">
        <w:rPr>
          <w:rFonts w:ascii="Times New Roman" w:hAnsi="Times New Roman"/>
          <w:b/>
          <w:szCs w:val="24"/>
        </w:rPr>
        <w:t>Dofinansowanie  100% wartości operacji</w:t>
      </w:r>
    </w:p>
    <w:p w:rsidR="00292442" w:rsidRPr="00106730" w:rsidRDefault="00292442" w:rsidP="00292442">
      <w:pPr>
        <w:tabs>
          <w:tab w:val="left" w:pos="3894"/>
          <w:tab w:val="center" w:pos="4536"/>
        </w:tabs>
        <w:rPr>
          <w:rFonts w:ascii="Times New Roman" w:hAnsi="Times New Roman"/>
          <w:i/>
          <w:iCs/>
        </w:rPr>
      </w:pPr>
    </w:p>
    <w:p w:rsidR="00292442" w:rsidRDefault="00292442" w:rsidP="00292442">
      <w:pPr>
        <w:autoSpaceDE w:val="0"/>
        <w:autoSpaceDN w:val="0"/>
        <w:adjustRightInd w:val="0"/>
        <w:spacing w:after="0" w:line="240" w:lineRule="auto"/>
        <w:rPr>
          <w:rFonts w:ascii="Times New Roman" w:hAnsi="Times New Roman"/>
          <w:b/>
        </w:rPr>
      </w:pPr>
      <w:r w:rsidRPr="00106730">
        <w:rPr>
          <w:rFonts w:ascii="Times New Roman" w:hAnsi="Times New Roman"/>
          <w:b/>
        </w:rPr>
        <w:t>O pomoc ubiegać się może:</w:t>
      </w:r>
    </w:p>
    <w:p w:rsidR="00292442" w:rsidRPr="00EA3A30" w:rsidRDefault="00292442" w:rsidP="00292442">
      <w:pPr>
        <w:autoSpaceDE w:val="0"/>
        <w:autoSpaceDN w:val="0"/>
        <w:adjustRightInd w:val="0"/>
        <w:spacing w:after="0" w:line="240" w:lineRule="auto"/>
        <w:rPr>
          <w:rFonts w:ascii="Times New Roman" w:eastAsiaTheme="minorHAnsi" w:hAnsi="Times New Roman"/>
          <w:szCs w:val="20"/>
        </w:rPr>
      </w:pPr>
      <w:r w:rsidRPr="00EA3A30">
        <w:rPr>
          <w:rFonts w:ascii="Times New Roman" w:eastAsiaTheme="minorHAnsi" w:hAnsi="Times New Roman"/>
          <w:szCs w:val="20"/>
        </w:rPr>
        <w:t>- Osoba prawna, z wyłączeniem województwa, jeżeli siedziba tej osoby lub jej oddziału znajduje się na obszarze wiejskim objętym LSR, albo</w:t>
      </w:r>
    </w:p>
    <w:p w:rsidR="00292442" w:rsidRPr="00EA3A30" w:rsidRDefault="00292442" w:rsidP="00292442">
      <w:pPr>
        <w:autoSpaceDE w:val="0"/>
        <w:autoSpaceDN w:val="0"/>
        <w:adjustRightInd w:val="0"/>
        <w:spacing w:after="0" w:line="240" w:lineRule="auto"/>
        <w:rPr>
          <w:rFonts w:ascii="Times New Roman" w:eastAsiaTheme="minorHAnsi" w:hAnsi="Times New Roman"/>
          <w:szCs w:val="20"/>
        </w:rPr>
      </w:pPr>
      <w:r w:rsidRPr="00EA3A30">
        <w:rPr>
          <w:rFonts w:ascii="Times New Roman" w:eastAsiaTheme="minorHAnsi" w:hAnsi="Times New Roman"/>
          <w:szCs w:val="20"/>
        </w:rPr>
        <w:t>- Jednostka organizacyjna nieposiadająca osobowości prawnej, której ustawa przyznaje zdolność prawną, jeżeli siedziba tej jednostki lub jej oddziału znajduje się na obszarze wiejskim objętym LSR</w:t>
      </w:r>
    </w:p>
    <w:p w:rsidR="00292442" w:rsidRPr="00106730" w:rsidRDefault="00292442" w:rsidP="00292442">
      <w:pPr>
        <w:autoSpaceDE w:val="0"/>
        <w:autoSpaceDN w:val="0"/>
        <w:adjustRightInd w:val="0"/>
        <w:spacing w:after="0" w:line="240" w:lineRule="auto"/>
        <w:rPr>
          <w:rFonts w:ascii="Times New Roman" w:hAnsi="Times New Roman"/>
          <w:b/>
        </w:rPr>
      </w:pPr>
      <w:r w:rsidRPr="00106730">
        <w:rPr>
          <w:rFonts w:ascii="Times New Roman" w:hAnsi="Times New Roman"/>
          <w:b/>
        </w:rPr>
        <w:t>Ubiegający się o jej przyznanie:</w:t>
      </w:r>
    </w:p>
    <w:p w:rsidR="00292442" w:rsidRPr="00C374F4" w:rsidRDefault="00292442" w:rsidP="00292442">
      <w:pPr>
        <w:spacing w:after="0"/>
        <w:rPr>
          <w:rFonts w:ascii="Times New Roman" w:hAnsi="Times New Roman"/>
        </w:rPr>
      </w:pPr>
      <w:r>
        <w:rPr>
          <w:rFonts w:ascii="Times New Roman" w:hAnsi="Times New Roman"/>
        </w:rPr>
        <w:t>a</w:t>
      </w:r>
      <w:r w:rsidRPr="00C374F4">
        <w:rPr>
          <w:rFonts w:ascii="Times New Roman" w:hAnsi="Times New Roman"/>
        </w:rPr>
        <w:t xml:space="preserve">) maksymalna kwota dofinansowania na jednego beneficjata wynosi 300 000,00zł. </w:t>
      </w:r>
    </w:p>
    <w:p w:rsidR="00292442" w:rsidRPr="00C374F4" w:rsidRDefault="00292442" w:rsidP="00292442">
      <w:pPr>
        <w:spacing w:after="0"/>
        <w:rPr>
          <w:rFonts w:ascii="Times New Roman" w:hAnsi="Times New Roman"/>
        </w:rPr>
      </w:pPr>
      <w:r>
        <w:rPr>
          <w:rFonts w:ascii="Times New Roman" w:hAnsi="Times New Roman"/>
        </w:rPr>
        <w:t>b</w:t>
      </w:r>
      <w:r w:rsidRPr="00C374F4">
        <w:rPr>
          <w:rFonts w:ascii="Times New Roman" w:hAnsi="Times New Roman"/>
        </w:rPr>
        <w:t>) podmiotowi został nadany numer identyfikacyjny w trybie przepisów o krajowym systemie ewidencji producentów, ewidencji gospodarstw rolnych oraz ewidencji wniosków o przyznanie płatności, zwany „numerem identyfikacyjnym”</w:t>
      </w:r>
    </w:p>
    <w:p w:rsidR="00292442" w:rsidRPr="00106730" w:rsidRDefault="00292442" w:rsidP="00292442">
      <w:pPr>
        <w:spacing w:after="0"/>
        <w:rPr>
          <w:rFonts w:ascii="Times New Roman" w:hAnsi="Times New Roman"/>
        </w:rPr>
      </w:pPr>
      <w:r>
        <w:rPr>
          <w:rFonts w:ascii="Times New Roman" w:hAnsi="Times New Roman"/>
        </w:rPr>
        <w:t>c</w:t>
      </w:r>
      <w:r w:rsidRPr="00106730">
        <w:rPr>
          <w:rFonts w:ascii="Times New Roman" w:hAnsi="Times New Roman"/>
        </w:rPr>
        <w:t>) koszty kwalifikowalne operacji nie są współfinansowane z innych środków publicznych;</w:t>
      </w:r>
    </w:p>
    <w:p w:rsidR="00292442" w:rsidRPr="00106730" w:rsidRDefault="00292442" w:rsidP="00292442">
      <w:pPr>
        <w:spacing w:after="0"/>
        <w:rPr>
          <w:rFonts w:ascii="Times New Roman" w:hAnsi="Times New Roman"/>
        </w:rPr>
      </w:pPr>
      <w:r>
        <w:rPr>
          <w:rFonts w:ascii="Times New Roman" w:hAnsi="Times New Roman"/>
        </w:rPr>
        <w:t>d</w:t>
      </w:r>
      <w:r w:rsidRPr="00106730">
        <w:rPr>
          <w:rFonts w:ascii="Times New Roman" w:hAnsi="Times New Roman"/>
        </w:rPr>
        <w:t>)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w:t>
      </w:r>
      <w:r w:rsidR="002D10D8">
        <w:rPr>
          <w:rFonts w:ascii="Times New Roman" w:hAnsi="Times New Roman"/>
        </w:rPr>
        <w:t xml:space="preserve"> lecz nie później niż do dnia 31</w:t>
      </w:r>
      <w:bookmarkStart w:id="0" w:name="_GoBack"/>
      <w:bookmarkEnd w:id="0"/>
      <w:r w:rsidRPr="00106730">
        <w:rPr>
          <w:rFonts w:ascii="Times New Roman" w:hAnsi="Times New Roman"/>
        </w:rPr>
        <w:t xml:space="preserve"> grudnia 2022 r.;</w:t>
      </w:r>
    </w:p>
    <w:p w:rsidR="00292442" w:rsidRPr="00106730" w:rsidRDefault="00292442" w:rsidP="00292442">
      <w:pPr>
        <w:spacing w:after="0"/>
        <w:rPr>
          <w:rFonts w:ascii="Times New Roman" w:hAnsi="Times New Roman"/>
        </w:rPr>
      </w:pPr>
      <w:r>
        <w:rPr>
          <w:rFonts w:ascii="Times New Roman" w:hAnsi="Times New Roman"/>
        </w:rPr>
        <w:t>e</w:t>
      </w:r>
      <w:r w:rsidRPr="00106730">
        <w:rPr>
          <w:rFonts w:ascii="Times New Roman" w:hAnsi="Times New Roman"/>
        </w:rPr>
        <w:t xml:space="preserve">) operacja, która obejmuje koszty inwestycyjne, zakłada realizację inwestycji na obszarze wiejskim objętym LSR, </w:t>
      </w:r>
    </w:p>
    <w:p w:rsidR="00292442" w:rsidRPr="00106730" w:rsidRDefault="00292442" w:rsidP="00292442">
      <w:pPr>
        <w:spacing w:after="0"/>
        <w:ind w:right="-426"/>
        <w:rPr>
          <w:rFonts w:ascii="Times New Roman" w:hAnsi="Times New Roman"/>
        </w:rPr>
      </w:pPr>
      <w:r>
        <w:rPr>
          <w:rFonts w:ascii="Times New Roman" w:hAnsi="Times New Roman"/>
        </w:rPr>
        <w:t>f</w:t>
      </w:r>
      <w:r w:rsidRPr="00106730">
        <w:rPr>
          <w:rFonts w:ascii="Times New Roman" w:hAnsi="Times New Roman"/>
        </w:rPr>
        <w:t>) 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 tj. 5 lat od płatności końcowej,</w:t>
      </w:r>
    </w:p>
    <w:p w:rsidR="00292442" w:rsidRPr="00106730" w:rsidRDefault="00292442" w:rsidP="00292442">
      <w:pPr>
        <w:spacing w:after="0"/>
        <w:ind w:right="-426"/>
        <w:rPr>
          <w:rFonts w:ascii="Times New Roman" w:hAnsi="Times New Roman"/>
        </w:rPr>
      </w:pPr>
      <w:r>
        <w:rPr>
          <w:rFonts w:ascii="Times New Roman" w:hAnsi="Times New Roman"/>
        </w:rPr>
        <w:t>g</w:t>
      </w:r>
      <w:r w:rsidRPr="00106730">
        <w:rPr>
          <w:rFonts w:ascii="Times New Roman" w:hAnsi="Times New Roman"/>
        </w:rPr>
        <w:t xml:space="preserve">) </w:t>
      </w:r>
      <w:r>
        <w:rPr>
          <w:rFonts w:ascii="Times New Roman" w:hAnsi="Times New Roman"/>
        </w:rPr>
        <w:t>pomoc jest przyznawana , jeżeli operacja służy zaspokojeniu potrzeb społeczności lokalnej</w:t>
      </w:r>
    </w:p>
    <w:p w:rsidR="00292442" w:rsidRPr="00106730" w:rsidRDefault="00292442" w:rsidP="00292442">
      <w:pPr>
        <w:spacing w:after="0"/>
        <w:ind w:right="-426"/>
        <w:rPr>
          <w:rFonts w:ascii="Times New Roman" w:hAnsi="Times New Roman"/>
        </w:rPr>
      </w:pPr>
      <w:r>
        <w:rPr>
          <w:rFonts w:ascii="Times New Roman" w:hAnsi="Times New Roman"/>
        </w:rPr>
        <w:t>h</w:t>
      </w:r>
      <w:r w:rsidRPr="00106730">
        <w:rPr>
          <w:rFonts w:ascii="Times New Roman" w:hAnsi="Times New Roman"/>
        </w:rPr>
        <w:t>) podmiot ten wykaże, że: posiada doświadczenie w realizacji projektów o charakterze podobnym do operacji, którą zamierza realizować lub posiada zasoby odpowiednie do przedmiotu operacji, którą zamierza realizować, lub  posiada kwalifikacje odpowiednie do przedmiotu operacji, którą zamierza realizować, jeżeli jest osobą fizyczną, lub wykonuje działalność odpowiednią do przedmiotu operacji, którą zamierza realizować</w:t>
      </w:r>
    </w:p>
    <w:p w:rsidR="00292442" w:rsidRPr="00106730" w:rsidRDefault="00292442" w:rsidP="00292442">
      <w:pPr>
        <w:spacing w:after="0"/>
        <w:rPr>
          <w:rFonts w:ascii="Times New Roman" w:hAnsi="Times New Roman"/>
        </w:rPr>
      </w:pPr>
      <w:r>
        <w:rPr>
          <w:rFonts w:ascii="Times New Roman" w:hAnsi="Times New Roman"/>
        </w:rPr>
        <w:t>i</w:t>
      </w:r>
      <w:r w:rsidRPr="00106730">
        <w:rPr>
          <w:rFonts w:ascii="Times New Roman" w:hAnsi="Times New Roman"/>
        </w:rPr>
        <w:t>) operacja jest uzasadniona ekonomicznie i będzie realizowana zgodnie z biznesplanem;</w:t>
      </w:r>
    </w:p>
    <w:p w:rsidR="00292442" w:rsidRPr="00106730" w:rsidRDefault="00292442" w:rsidP="00292442">
      <w:pPr>
        <w:spacing w:after="0"/>
        <w:rPr>
          <w:rFonts w:ascii="Times New Roman" w:hAnsi="Times New Roman"/>
          <w:b/>
        </w:rPr>
      </w:pPr>
      <w:r w:rsidRPr="00106730">
        <w:rPr>
          <w:rFonts w:ascii="Times New Roman" w:hAnsi="Times New Roman"/>
          <w:b/>
        </w:rPr>
        <w:t>Koszty kwalifikowalne:</w:t>
      </w:r>
    </w:p>
    <w:p w:rsidR="00292442" w:rsidRPr="00106730" w:rsidRDefault="00292442" w:rsidP="00292442">
      <w:pPr>
        <w:spacing w:after="0"/>
        <w:rPr>
          <w:rFonts w:ascii="Times New Roman" w:hAnsi="Times New Roman"/>
        </w:rPr>
      </w:pPr>
      <w:r w:rsidRPr="00106730">
        <w:rPr>
          <w:rFonts w:ascii="Times New Roman" w:hAnsi="Times New Roman"/>
        </w:rPr>
        <w:t xml:space="preserve">1) ogólne, o których mowa w art. 45 ust. 2 lit. c rozporządzenia nr 1305/2013, zwane j „kosztami ogólnymi”,  </w:t>
      </w:r>
    </w:p>
    <w:p w:rsidR="00292442" w:rsidRPr="00106730" w:rsidRDefault="00292442" w:rsidP="00292442">
      <w:pPr>
        <w:spacing w:after="0"/>
        <w:rPr>
          <w:rFonts w:ascii="Times New Roman" w:hAnsi="Times New Roman"/>
        </w:rPr>
      </w:pPr>
      <w:r w:rsidRPr="00106730">
        <w:rPr>
          <w:rFonts w:ascii="Times New Roman" w:hAnsi="Times New Roman"/>
        </w:rPr>
        <w:t>2) zakupu robót budowlanych lub usług,</w:t>
      </w:r>
    </w:p>
    <w:p w:rsidR="00292442" w:rsidRPr="00106730" w:rsidRDefault="00292442" w:rsidP="00292442">
      <w:pPr>
        <w:spacing w:after="0"/>
        <w:rPr>
          <w:rFonts w:ascii="Times New Roman" w:hAnsi="Times New Roman"/>
        </w:rPr>
      </w:pPr>
      <w:r w:rsidRPr="00106730">
        <w:rPr>
          <w:rFonts w:ascii="Times New Roman" w:hAnsi="Times New Roman"/>
        </w:rPr>
        <w:t>3) zakupu lub rozwoju oprogramowania komputerowego oraz zakupu patentów, licencji lub wynagrodzeń za przeniesienie autorskich praw majątkowych lub znaków towarowych,</w:t>
      </w:r>
    </w:p>
    <w:p w:rsidR="00292442" w:rsidRPr="00106730" w:rsidRDefault="00292442" w:rsidP="00292442">
      <w:pPr>
        <w:spacing w:after="0"/>
        <w:rPr>
          <w:rFonts w:ascii="Times New Roman" w:hAnsi="Times New Roman"/>
        </w:rPr>
      </w:pPr>
      <w:r w:rsidRPr="00106730">
        <w:rPr>
          <w:rFonts w:ascii="Times New Roman" w:hAnsi="Times New Roman"/>
        </w:rPr>
        <w:t>4) najmu lub dzierżawy maszyn, wyposażenia lub nieruchomości,</w:t>
      </w:r>
    </w:p>
    <w:p w:rsidR="00292442" w:rsidRPr="00106730" w:rsidRDefault="00292442" w:rsidP="00292442">
      <w:pPr>
        <w:spacing w:after="0"/>
        <w:rPr>
          <w:rFonts w:ascii="Times New Roman" w:hAnsi="Times New Roman"/>
        </w:rPr>
      </w:pPr>
      <w:r w:rsidRPr="00106730">
        <w:rPr>
          <w:rFonts w:ascii="Times New Roman" w:hAnsi="Times New Roman"/>
        </w:rPr>
        <w:t>5) zakupu nowych maszyn lub wyposażenia</w:t>
      </w:r>
    </w:p>
    <w:p w:rsidR="00292442" w:rsidRPr="00106730" w:rsidRDefault="00292442" w:rsidP="00292442">
      <w:pPr>
        <w:spacing w:after="0"/>
        <w:rPr>
          <w:rFonts w:ascii="Times New Roman" w:hAnsi="Times New Roman"/>
        </w:rPr>
      </w:pPr>
      <w:r w:rsidRPr="00106730">
        <w:rPr>
          <w:rFonts w:ascii="Times New Roman" w:hAnsi="Times New Roman"/>
        </w:rPr>
        <w:lastRenderedPageBreak/>
        <w:t>6) zakupu środków transportu, z wyłączeniem zakupu samochodów osobowych przeznaczonych do przewozu mniej niż 8 osób łącznie z kierowcą,</w:t>
      </w:r>
    </w:p>
    <w:p w:rsidR="00292442" w:rsidRPr="00106730" w:rsidRDefault="00292442" w:rsidP="00292442">
      <w:pPr>
        <w:spacing w:after="0"/>
        <w:rPr>
          <w:rFonts w:ascii="Times New Roman" w:hAnsi="Times New Roman"/>
        </w:rPr>
      </w:pPr>
      <w:r w:rsidRPr="00106730">
        <w:rPr>
          <w:rFonts w:ascii="Times New Roman" w:hAnsi="Times New Roman"/>
        </w:rPr>
        <w:t>7) zakupu rzeczy innych niż wymienione w pkt 5 i 6, w tym materiałów,</w:t>
      </w:r>
    </w:p>
    <w:p w:rsidR="00292442" w:rsidRPr="00106730" w:rsidRDefault="00292442" w:rsidP="00292442">
      <w:pPr>
        <w:spacing w:after="0"/>
        <w:rPr>
          <w:rFonts w:ascii="Times New Roman" w:hAnsi="Times New Roman"/>
        </w:rPr>
      </w:pPr>
      <w:r w:rsidRPr="00106730">
        <w:rPr>
          <w:rFonts w:ascii="Times New Roman" w:hAnsi="Times New Roman"/>
        </w:rPr>
        <w:t>9) podatku od towarów i usług (VAT), zgodnie z art. 69 ust. 3 lit. c rozporządzenia nr 1303/2013</w:t>
      </w:r>
    </w:p>
    <w:p w:rsidR="00292442" w:rsidRPr="00106730" w:rsidRDefault="00292442" w:rsidP="00292442">
      <w:pPr>
        <w:spacing w:after="0"/>
        <w:rPr>
          <w:rFonts w:ascii="Times New Roman" w:hAnsi="Times New Roman"/>
        </w:rPr>
      </w:pPr>
      <w:r w:rsidRPr="00106730">
        <w:rPr>
          <w:rFonts w:ascii="Times New Roman" w:hAnsi="Times New Roman"/>
        </w:rPr>
        <w:t>– które są uzasadnione zakresem operacji, niezbędne do osiągnięcia jej celu oraz racjonalne.</w:t>
      </w:r>
    </w:p>
    <w:p w:rsidR="00292442" w:rsidRPr="00106730" w:rsidRDefault="00292442" w:rsidP="00292442">
      <w:pPr>
        <w:spacing w:after="0"/>
        <w:rPr>
          <w:rFonts w:ascii="Times New Roman" w:hAnsi="Times New Roman"/>
        </w:rPr>
      </w:pPr>
    </w:p>
    <w:p w:rsidR="00292442" w:rsidRPr="00106730" w:rsidRDefault="00292442" w:rsidP="00292442">
      <w:pPr>
        <w:spacing w:after="0"/>
        <w:rPr>
          <w:rFonts w:ascii="Times New Roman" w:hAnsi="Times New Roman"/>
        </w:rPr>
      </w:pPr>
      <w:r w:rsidRPr="00106730">
        <w:rPr>
          <w:rFonts w:ascii="Times New Roman" w:hAnsi="Times New Roman"/>
        </w:rPr>
        <w:t>Koszty kwalifikowalne podlegają refundacji jeżeli zostały poniesione od dnia, w którym została podpisana umowa.</w:t>
      </w:r>
    </w:p>
    <w:p w:rsidR="00292442" w:rsidRPr="00106730" w:rsidRDefault="00292442" w:rsidP="00292442">
      <w:pPr>
        <w:spacing w:after="0"/>
        <w:rPr>
          <w:rFonts w:ascii="Times New Roman" w:hAnsi="Times New Roman"/>
        </w:rPr>
      </w:pPr>
      <w:r w:rsidRPr="00106730">
        <w:rPr>
          <w:rFonts w:ascii="Times New Roman" w:hAnsi="Times New Roman"/>
        </w:rPr>
        <w:t>Przy ustalaniu wysokości pomocy koszty ogólne są uwzględniane w wysokości nieprzekraczającej 10% pozostałych kos</w:t>
      </w:r>
      <w:r w:rsidR="00205EC7">
        <w:rPr>
          <w:rFonts w:ascii="Times New Roman" w:hAnsi="Times New Roman"/>
        </w:rPr>
        <w:t>ztów kwalifikowalnych operacji.</w:t>
      </w:r>
    </w:p>
    <w:p w:rsidR="00292442" w:rsidRPr="00106730" w:rsidRDefault="00292442" w:rsidP="00292442">
      <w:pPr>
        <w:spacing w:after="0"/>
        <w:rPr>
          <w:rFonts w:ascii="Times New Roman" w:hAnsi="Times New Roman"/>
        </w:rPr>
      </w:pPr>
    </w:p>
    <w:sectPr w:rsidR="00292442" w:rsidRPr="0010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AB"/>
    <w:rsid w:val="00205EC7"/>
    <w:rsid w:val="002321AB"/>
    <w:rsid w:val="00292442"/>
    <w:rsid w:val="002D10D8"/>
    <w:rsid w:val="00B61A60"/>
    <w:rsid w:val="00FC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44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24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44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24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cp:lastModifiedBy>
  <cp:revision>6</cp:revision>
  <cp:lastPrinted>2016-08-03T09:18:00Z</cp:lastPrinted>
  <dcterms:created xsi:type="dcterms:W3CDTF">2016-06-23T08:43:00Z</dcterms:created>
  <dcterms:modified xsi:type="dcterms:W3CDTF">2021-11-02T08:38:00Z</dcterms:modified>
</cp:coreProperties>
</file>